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BC" w:rsidRPr="00385FBC" w:rsidRDefault="00385FBC" w:rsidP="00385FBC">
      <w:pPr>
        <w:pStyle w:val="Heading1"/>
      </w:pPr>
      <w:bookmarkStart w:id="0" w:name="_Toc266435924"/>
      <w:r w:rsidRPr="00385FBC">
        <w:t>Appendix IV – ALR3-5 IROL/SOL Exceedance Reporting Template</w:t>
      </w:r>
      <w:bookmarkEnd w:id="0"/>
    </w:p>
    <w:p w:rsidR="00385FBC" w:rsidRPr="00385FBC" w:rsidRDefault="00385FBC" w:rsidP="00385FBC"/>
    <w:tbl>
      <w:tblPr>
        <w:tblW w:w="14073" w:type="dxa"/>
        <w:tblInd w:w="-522" w:type="dxa"/>
        <w:tblLook w:val="04A0"/>
      </w:tblPr>
      <w:tblGrid>
        <w:gridCol w:w="2520"/>
        <w:gridCol w:w="671"/>
        <w:gridCol w:w="2515"/>
        <w:gridCol w:w="2834"/>
        <w:gridCol w:w="190"/>
        <w:gridCol w:w="2910"/>
        <w:gridCol w:w="96"/>
        <w:gridCol w:w="2337"/>
      </w:tblGrid>
      <w:tr w:rsidR="00385FBC" w:rsidRPr="00385FBC" w:rsidTr="00AF6A0A">
        <w:trPr>
          <w:trHeight w:val="359"/>
        </w:trPr>
        <w:tc>
          <w:tcPr>
            <w:tcW w:w="140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FBC" w:rsidRPr="00385FBC" w:rsidRDefault="00385FBC" w:rsidP="00385FBC">
            <w:pPr>
              <w:spacing w:after="0" w:line="240" w:lineRule="auto"/>
              <w:jc w:val="center"/>
              <w:rPr>
                <w:b/>
                <w:bCs/>
              </w:rPr>
            </w:pPr>
            <w:r w:rsidRPr="00385FBC">
              <w:rPr>
                <w:b/>
                <w:bCs/>
              </w:rPr>
              <w:t xml:space="preserve">      </w:t>
            </w:r>
            <w:r w:rsidRPr="00385F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ALR3-5 IROL/SOL Exceedance Reporting Template</w:t>
            </w:r>
          </w:p>
        </w:tc>
      </w:tr>
      <w:tr w:rsidR="00AF6A0A" w:rsidRPr="00385FBC" w:rsidTr="00AF6A0A">
        <w:trPr>
          <w:trHeight w:val="710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A0A" w:rsidRPr="00385FBC" w:rsidRDefault="00AF6A0A" w:rsidP="009F43EE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5FB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Reporting Reliability Coordinator:</w:t>
            </w:r>
          </w:p>
        </w:tc>
        <w:tc>
          <w:tcPr>
            <w:tcW w:w="10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F6A0A" w:rsidRPr="00385FBC" w:rsidRDefault="00AF6A0A" w:rsidP="009F43EE">
            <w:pPr>
              <w:spacing w:after="0"/>
            </w:pPr>
            <w:r w:rsidRPr="00385FBC">
              <w:t> </w:t>
            </w:r>
          </w:p>
          <w:p w:rsidR="00AF6A0A" w:rsidRPr="00385FBC" w:rsidRDefault="00AF6A0A" w:rsidP="009F43EE">
            <w:pPr>
              <w:spacing w:after="0"/>
            </w:pPr>
            <w:r w:rsidRPr="00385FBC">
              <w:t> </w:t>
            </w:r>
          </w:p>
        </w:tc>
      </w:tr>
      <w:tr w:rsidR="00AF6A0A" w:rsidRPr="00385FBC" w:rsidTr="00AF6A0A">
        <w:trPr>
          <w:trHeight w:val="314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6A0A" w:rsidRPr="00385FBC" w:rsidRDefault="00AF6A0A" w:rsidP="009F43EE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5FB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Reporting Quarter:</w:t>
            </w:r>
          </w:p>
        </w:tc>
        <w:tc>
          <w:tcPr>
            <w:tcW w:w="10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6A0A" w:rsidRPr="00385FBC" w:rsidRDefault="00AF6A0A" w:rsidP="00385FBC">
            <w:r w:rsidRPr="00385FBC">
              <w:t> </w:t>
            </w:r>
          </w:p>
        </w:tc>
      </w:tr>
      <w:tr w:rsidR="00AF6A0A" w:rsidRPr="00385FBC" w:rsidTr="00AF6A0A">
        <w:trPr>
          <w:trHeight w:val="278"/>
        </w:trPr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6A0A" w:rsidRPr="00385FBC" w:rsidRDefault="00AF6A0A" w:rsidP="009F43EE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85FB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Reporting Year:</w:t>
            </w:r>
          </w:p>
        </w:tc>
        <w:tc>
          <w:tcPr>
            <w:tcW w:w="10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6A0A" w:rsidRPr="00385FBC" w:rsidRDefault="00AF6A0A" w:rsidP="00385FBC">
            <w:r w:rsidRPr="00385FBC">
              <w:t> </w:t>
            </w:r>
          </w:p>
        </w:tc>
      </w:tr>
      <w:tr w:rsidR="00385FBC" w:rsidRPr="00385FBC" w:rsidTr="00AF6A0A">
        <w:trPr>
          <w:trHeight w:val="2492"/>
        </w:trPr>
        <w:tc>
          <w:tcPr>
            <w:tcW w:w="14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FBC" w:rsidRPr="00385FBC" w:rsidRDefault="00AF6A0A" w:rsidP="00AF6A0A">
            <w:r w:rsidRPr="00AF6A0A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Submission Instructions</w:t>
            </w:r>
            <w:proofErr w:type="gramStart"/>
            <w:r w:rsidRPr="00AF6A0A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:</w:t>
            </w:r>
            <w:proofErr w:type="gramEnd"/>
            <w:r w:rsidR="00385FBC" w:rsidRPr="00385FBC">
              <w:rPr>
                <w:rFonts w:asciiTheme="majorHAnsi" w:hAnsiTheme="majorHAnsi" w:cstheme="majorHAnsi"/>
                <w:sz w:val="20"/>
                <w:szCs w:val="20"/>
              </w:rPr>
              <w:br/>
              <w:t>(1) The voluntary reporting period starts from J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uly 1, 2010 to September 30</w:t>
            </w:r>
            <w:r w:rsidR="00385FBC" w:rsidRPr="00385FBC">
              <w:rPr>
                <w:rFonts w:asciiTheme="majorHAnsi" w:hAnsiTheme="majorHAnsi" w:cstheme="majorHAnsi"/>
                <w:sz w:val="20"/>
                <w:szCs w:val="20"/>
              </w:rPr>
              <w:t xml:space="preserve">, 2010.  Please use this template to send data files to NERC at </w:t>
            </w:r>
            <w:hyperlink r:id="rId4" w:history="1">
              <w:r w:rsidRPr="00A2445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metrics@nerc.net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85FBC" w:rsidRPr="00385FBC">
              <w:rPr>
                <w:rFonts w:asciiTheme="majorHAnsi" w:hAnsiTheme="majorHAnsi" w:cstheme="majorHAnsi"/>
                <w:sz w:val="20"/>
                <w:szCs w:val="20"/>
              </w:rPr>
              <w:t xml:space="preserve"> by the end of the month following each calendar quarter.  The first quarterly voluntary data submi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ttal is requested on October 31</w:t>
            </w:r>
            <w:r w:rsidR="00385FBC" w:rsidRPr="00385FBC">
              <w:rPr>
                <w:rFonts w:asciiTheme="majorHAnsi" w:hAnsiTheme="majorHAnsi" w:cstheme="majorHAnsi"/>
                <w:sz w:val="20"/>
                <w:szCs w:val="20"/>
              </w:rPr>
              <w:t>, 2010 and the last on January 31, 2011.  Beginning in 2011, mandatory data will be collected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385FBC" w:rsidRPr="00385FBC">
              <w:rPr>
                <w:rFonts w:asciiTheme="majorHAnsi" w:hAnsiTheme="majorHAnsi" w:cstheme="majorHAnsi"/>
                <w:sz w:val="20"/>
                <w:szCs w:val="20"/>
              </w:rPr>
              <w:br/>
              <w:t>(2)  For the RCs in the Eastern and Québec Interc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onnections, please report IROL E</w:t>
            </w:r>
            <w:r w:rsidR="00385FBC" w:rsidRPr="00385FBC">
              <w:rPr>
                <w:rFonts w:asciiTheme="majorHAnsi" w:hAnsiTheme="majorHAnsi" w:cstheme="majorHAnsi"/>
                <w:sz w:val="20"/>
                <w:szCs w:val="20"/>
              </w:rPr>
              <w:t>xceedance data only; for the RCs in the Western Inte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rconnection, please report SOL E</w:t>
            </w:r>
            <w:r w:rsidR="00385FBC" w:rsidRPr="00385FBC">
              <w:rPr>
                <w:rFonts w:asciiTheme="majorHAnsi" w:hAnsiTheme="majorHAnsi" w:cstheme="majorHAnsi"/>
                <w:sz w:val="20"/>
                <w:szCs w:val="20"/>
              </w:rPr>
              <w:t>xceedance data only; and for the RC in the TRE Interconnection, 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lease report both IROL and SOL E</w:t>
            </w:r>
            <w:r w:rsidR="00385FBC" w:rsidRPr="00385FBC">
              <w:rPr>
                <w:rFonts w:asciiTheme="majorHAnsi" w:hAnsiTheme="majorHAnsi" w:cstheme="majorHAnsi"/>
                <w:sz w:val="20"/>
                <w:szCs w:val="20"/>
              </w:rPr>
              <w:t xml:space="preserve">xceedance data until its IROL method is changed.  </w:t>
            </w:r>
            <w:r w:rsidR="00385FBC" w:rsidRPr="00385FBC">
              <w:br/>
            </w:r>
            <w:r w:rsidR="00385FBC" w:rsidRPr="00385FBC">
              <w:rPr>
                <w:rFonts w:ascii="Arial" w:hAnsi="Arial" w:cs="Arial"/>
                <w:sz w:val="20"/>
                <w:szCs w:val="20"/>
              </w:rPr>
              <w:t xml:space="preserve">(3)  The definition and purpose of metric ALR3-5 are available at </w:t>
            </w:r>
            <w:hyperlink r:id="rId5" w:history="1">
              <w:r w:rsidR="00385FBC" w:rsidRPr="00385FBC">
                <w:rPr>
                  <w:rStyle w:val="Hyperlink"/>
                </w:rPr>
                <w:t>http://www.ne</w:t>
              </w:r>
              <w:r w:rsidR="00385FBC" w:rsidRPr="00385FBC">
                <w:rPr>
                  <w:rStyle w:val="Hyperlink"/>
                </w:rPr>
                <w:t>r</w:t>
              </w:r>
              <w:r w:rsidR="00385FBC" w:rsidRPr="00385FBC">
                <w:rPr>
                  <w:rStyle w:val="Hyperlink"/>
                </w:rPr>
                <w:t>c.com/docs/pc/rmwg/ALR3-5_Form.pdf</w:t>
              </w:r>
            </w:hyperlink>
            <w:r w:rsidR="00385FBC" w:rsidRPr="00385FBC">
              <w:t>.</w:t>
            </w:r>
          </w:p>
        </w:tc>
      </w:tr>
      <w:tr w:rsidR="00385FBC" w:rsidRPr="00385FBC" w:rsidTr="00AF6A0A">
        <w:trPr>
          <w:trHeight w:val="298"/>
        </w:trPr>
        <w:tc>
          <w:tcPr>
            <w:tcW w:w="14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385FBC" w:rsidRPr="00385FBC" w:rsidRDefault="00385FBC" w:rsidP="00385FBC">
            <w:pPr>
              <w:spacing w:after="0" w:line="240" w:lineRule="auto"/>
              <w:jc w:val="center"/>
              <w:rPr>
                <w:b/>
                <w:bCs/>
              </w:rPr>
            </w:pPr>
            <w:r w:rsidRPr="00385F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IROL Exceedance</w:t>
            </w:r>
          </w:p>
        </w:tc>
      </w:tr>
      <w:tr w:rsidR="00385FBC" w:rsidRPr="00385FBC" w:rsidTr="00AF6A0A">
        <w:trPr>
          <w:trHeight w:val="43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FBC" w:rsidRPr="00385FBC" w:rsidRDefault="00385FBC" w:rsidP="00385FBC">
            <w:pPr>
              <w:rPr>
                <w:rFonts w:ascii="Arial" w:hAnsi="Arial" w:cs="Arial"/>
                <w:sz w:val="20"/>
                <w:szCs w:val="20"/>
              </w:rPr>
            </w:pPr>
            <w:r w:rsidRPr="00385F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5FBC" w:rsidRPr="00385FBC" w:rsidRDefault="00385FBC" w:rsidP="00385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>Secs</w:t>
            </w:r>
            <w:proofErr w:type="spellEnd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&lt; Duration ≤ 10 </w:t>
            </w:r>
            <w:proofErr w:type="spellStart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  <w:proofErr w:type="spellEnd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5FBC" w:rsidRPr="00385FBC" w:rsidRDefault="00385FBC" w:rsidP="00385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  <w:proofErr w:type="spellEnd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&lt; Duration ≤ 20 </w:t>
            </w:r>
            <w:proofErr w:type="spellStart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  <w:proofErr w:type="spellEnd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5FBC" w:rsidRPr="00385FBC" w:rsidRDefault="00385FBC" w:rsidP="00385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  <w:proofErr w:type="spellStart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  <w:proofErr w:type="spellEnd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&lt; Duration ≤ 30 </w:t>
            </w:r>
            <w:proofErr w:type="spellStart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  <w:proofErr w:type="spellEnd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5FBC" w:rsidRPr="00385FBC" w:rsidRDefault="00385FBC" w:rsidP="00385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&gt; 30 </w:t>
            </w:r>
            <w:proofErr w:type="spellStart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  <w:proofErr w:type="spellEnd"/>
          </w:p>
        </w:tc>
      </w:tr>
      <w:tr w:rsidR="00385FBC" w:rsidRPr="00385FBC" w:rsidTr="00AF6A0A">
        <w:trPr>
          <w:trHeight w:val="5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5FBC" w:rsidRPr="00385FBC" w:rsidRDefault="00385FBC" w:rsidP="009F43E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3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 number of times IROLs were exceeded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5FBC" w:rsidRPr="00385FBC" w:rsidRDefault="00385FBC" w:rsidP="00385FBC">
            <w:r w:rsidRPr="00385FBC"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5FBC" w:rsidRPr="00385FBC" w:rsidRDefault="00385FBC" w:rsidP="00385FBC">
            <w:r w:rsidRPr="00385FBC"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5FBC" w:rsidRPr="00385FBC" w:rsidRDefault="00385FBC" w:rsidP="00385FBC">
            <w:r w:rsidRPr="00385FBC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5FBC" w:rsidRPr="00385FBC" w:rsidRDefault="00385FBC" w:rsidP="00385FBC">
            <w:r w:rsidRPr="00385FBC">
              <w:t> </w:t>
            </w:r>
          </w:p>
        </w:tc>
      </w:tr>
      <w:tr w:rsidR="00385FBC" w:rsidRPr="00385FBC" w:rsidTr="00AF6A0A">
        <w:trPr>
          <w:trHeight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BC" w:rsidRPr="00385FBC" w:rsidRDefault="00385FBC" w:rsidP="009F43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43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11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5FBC" w:rsidRPr="00385FBC" w:rsidRDefault="00385FBC" w:rsidP="00385FBC"/>
        </w:tc>
      </w:tr>
      <w:tr w:rsidR="00385FBC" w:rsidRPr="00385FBC" w:rsidTr="00AF6A0A">
        <w:trPr>
          <w:trHeight w:val="298"/>
        </w:trPr>
        <w:tc>
          <w:tcPr>
            <w:tcW w:w="14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85FBC" w:rsidRPr="00385FBC" w:rsidRDefault="00385FBC" w:rsidP="00385F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F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SOL Exceedance</w:t>
            </w:r>
          </w:p>
        </w:tc>
      </w:tr>
      <w:tr w:rsidR="00385FBC" w:rsidRPr="00385FBC" w:rsidTr="00AF6A0A">
        <w:trPr>
          <w:trHeight w:val="4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5FBC" w:rsidRPr="00385FBC" w:rsidRDefault="00385FBC" w:rsidP="00385FBC">
            <w:pPr>
              <w:rPr>
                <w:rFonts w:ascii="Arial" w:hAnsi="Arial" w:cs="Arial"/>
                <w:sz w:val="20"/>
                <w:szCs w:val="20"/>
              </w:rPr>
            </w:pPr>
            <w:r w:rsidRPr="00385F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5FBC" w:rsidRPr="00385FBC" w:rsidRDefault="00385FBC" w:rsidP="00385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>Secs</w:t>
            </w:r>
            <w:proofErr w:type="spellEnd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&lt; Duration ≤ 10 </w:t>
            </w:r>
            <w:proofErr w:type="spellStart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  <w:proofErr w:type="spellEnd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5FBC" w:rsidRPr="00385FBC" w:rsidRDefault="00385FBC" w:rsidP="00385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  <w:proofErr w:type="spellEnd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&lt; Duration ≤ 20 </w:t>
            </w:r>
            <w:proofErr w:type="spellStart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  <w:proofErr w:type="spellEnd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5FBC" w:rsidRPr="00385FBC" w:rsidRDefault="00385FBC" w:rsidP="00385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  <w:proofErr w:type="spellStart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  <w:proofErr w:type="spellEnd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&lt; Duration ≤ 30 </w:t>
            </w:r>
            <w:proofErr w:type="spellStart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  <w:proofErr w:type="spellEnd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5FBC" w:rsidRPr="00385FBC" w:rsidRDefault="00385FBC" w:rsidP="00385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&gt; 30 </w:t>
            </w:r>
            <w:proofErr w:type="spellStart"/>
            <w:r w:rsidRPr="00385FBC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  <w:proofErr w:type="spellEnd"/>
          </w:p>
        </w:tc>
      </w:tr>
      <w:tr w:rsidR="00385FBC" w:rsidRPr="00385FBC" w:rsidTr="00AF6A0A">
        <w:trPr>
          <w:trHeight w:val="63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5FBC" w:rsidRPr="00385FBC" w:rsidRDefault="00385FBC" w:rsidP="00385FB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3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 number of times SOLs were exceeded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5FBC" w:rsidRPr="00385FBC" w:rsidRDefault="00385FBC" w:rsidP="00385F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5F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5FBC" w:rsidRPr="00385FBC" w:rsidRDefault="00385FBC" w:rsidP="00385F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5F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5FBC" w:rsidRPr="00385FBC" w:rsidRDefault="00385FBC" w:rsidP="00385F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5F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85FBC" w:rsidRPr="00385FBC" w:rsidRDefault="00385FBC" w:rsidP="00385F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5F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5FBC" w:rsidRPr="00385FBC" w:rsidTr="00AF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2520" w:type="dxa"/>
            <w:vAlign w:val="center"/>
          </w:tcPr>
          <w:p w:rsidR="00385FBC" w:rsidRPr="00385FBC" w:rsidRDefault="00385FBC" w:rsidP="00385F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43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11553" w:type="dxa"/>
            <w:gridSpan w:val="7"/>
          </w:tcPr>
          <w:p w:rsidR="00385FBC" w:rsidRPr="00385FBC" w:rsidRDefault="00385FBC" w:rsidP="00385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E01" w:rsidRDefault="004D3E01"/>
    <w:sectPr w:rsidR="004D3E01" w:rsidSect="00385FBC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5FBC"/>
    <w:rsid w:val="000209D1"/>
    <w:rsid w:val="00193A7E"/>
    <w:rsid w:val="001B5F89"/>
    <w:rsid w:val="00202AD8"/>
    <w:rsid w:val="00385FBC"/>
    <w:rsid w:val="004D3E01"/>
    <w:rsid w:val="00653483"/>
    <w:rsid w:val="00784E5C"/>
    <w:rsid w:val="009F43EE"/>
    <w:rsid w:val="00AF6A0A"/>
    <w:rsid w:val="00D241F2"/>
    <w:rsid w:val="00D32D23"/>
    <w:rsid w:val="00D339F4"/>
    <w:rsid w:val="00DF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5C"/>
  </w:style>
  <w:style w:type="paragraph" w:styleId="Heading1">
    <w:name w:val="heading 1"/>
    <w:basedOn w:val="Normal"/>
    <w:next w:val="Normal"/>
    <w:link w:val="Heading1Char"/>
    <w:qFormat/>
    <w:rsid w:val="00385FBC"/>
    <w:pPr>
      <w:spacing w:after="0" w:line="240" w:lineRule="auto"/>
      <w:outlineLvl w:val="0"/>
    </w:pPr>
    <w:rPr>
      <w:rFonts w:ascii="Tahoma" w:eastAsia="Times New Roman" w:hAnsi="Tahoma" w:cs="Tahoma"/>
      <w:shadow/>
      <w:color w:val="264D7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F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85FBC"/>
    <w:rPr>
      <w:rFonts w:ascii="Tahoma" w:eastAsia="Times New Roman" w:hAnsi="Tahoma" w:cs="Tahoma"/>
      <w:shadow/>
      <w:color w:val="264D74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385F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nerc.com/docs/pc/rmwg/ALR3-5_Form.pd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metrics@ner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5512A47294F438B5E0F5AF10445DE" ma:contentTypeVersion="31" ma:contentTypeDescription="Create a new document." ma:contentTypeScope="" ma:versionID="f9d749e653450664a0d7e16090985bcb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ec7ca80ca241c2717809b3930708def1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F7EC1-DCD0-459B-BE53-9E25642E7D74}"/>
</file>

<file path=customXml/itemProps2.xml><?xml version="1.0" encoding="utf-8"?>
<ds:datastoreItem xmlns:ds="http://schemas.openxmlformats.org/officeDocument/2006/customXml" ds:itemID="{7894F82A-3C21-4398-90EB-68C255491D97}"/>
</file>

<file path=customXml/itemProps3.xml><?xml version="1.0" encoding="utf-8"?>
<ds:datastoreItem xmlns:ds="http://schemas.openxmlformats.org/officeDocument/2006/customXml" ds:itemID="{75021263-8863-42B5-854F-29905C215B0E}"/>
</file>

<file path=customXml/itemProps4.xml><?xml version="1.0" encoding="utf-8"?>
<ds:datastoreItem xmlns:ds="http://schemas.openxmlformats.org/officeDocument/2006/customXml" ds:itemID="{FE259C21-A11D-4BA4-9727-D8B2A5E1A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villafrancar</dc:creator>
  <cp:keywords/>
  <dc:description/>
  <cp:lastModifiedBy>villafrancar</cp:lastModifiedBy>
  <cp:revision>2</cp:revision>
  <cp:lastPrinted>2010-09-10T19:35:00Z</cp:lastPrinted>
  <dcterms:created xsi:type="dcterms:W3CDTF">2010-09-10T19:40:00Z</dcterms:created>
  <dcterms:modified xsi:type="dcterms:W3CDTF">2010-09-10T19:40:00Z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0x010100EE35512A47294F438B5E0F5AF10445DE</vt:lpwstr>
  </property>
  <property fmtid="{D5CDD505-2E9C-101B-9397-08002B2CF9AE}" pid="3" name="_dlc_DocIdItemGuid">
    <vt:lpwstr>3f0e4e78-d4ed-46d7-8399-e8ef204a413e</vt:lpwstr>
  </property>
</Properties>
</file>