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15C52CD3"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6E02F6">
        <w:rPr>
          <w:b w:val="0"/>
          <w:sz w:val="32"/>
          <w:szCs w:val="32"/>
        </w:rPr>
        <w:t>1</w:t>
      </w:r>
      <w:r w:rsidR="00577FD5" w:rsidRPr="00577FD5">
        <w:rPr>
          <w:b w:val="0"/>
          <w:sz w:val="32"/>
          <w:szCs w:val="32"/>
        </w:rPr>
        <w:t xml:space="preserve"> </w:t>
      </w:r>
      <w:r w:rsidR="006E02F6">
        <w:rPr>
          <w:b w:val="0"/>
          <w:sz w:val="32"/>
          <w:szCs w:val="32"/>
        </w:rPr>
        <w:t xml:space="preserve">Modifications to MOD-025 and PRC-019 </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1718B490"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DE3EFB">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4745E3" w:rsidRPr="004745E3">
        <w:rPr>
          <w:rFonts w:cs="Arial"/>
          <w:b/>
        </w:rPr>
        <w:t>1 Modifications to MOD-025 and PRC-019</w:t>
      </w:r>
      <w:r w:rsidR="00E06346" w:rsidRPr="004745E3">
        <w:rPr>
          <w:rFonts w:cs="Arial"/>
          <w:b/>
        </w:rPr>
        <w:t xml:space="preserve"> </w:t>
      </w:r>
      <w:r w:rsidR="009A1706" w:rsidRPr="004745E3">
        <w:rPr>
          <w:rFonts w:cs="Arial"/>
        </w:rPr>
        <w:t>S</w:t>
      </w:r>
      <w:r w:rsidR="00CF2EF5" w:rsidRPr="004745E3">
        <w:rPr>
          <w:rFonts w:cs="Arial"/>
        </w:rPr>
        <w:t>tandard</w:t>
      </w:r>
      <w:r w:rsidR="00CF2EF5">
        <w:rPr>
          <w:rFonts w:cs="Arial"/>
        </w:rPr>
        <w:t xml:space="preserve">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Monday, April 2,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274128B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0A4C6E">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74D2A1C7" w14:textId="77777777" w:rsidR="00A96854" w:rsidRPr="00D10014"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are useful and focus on more effective means of collecting useful data for planning models. The Reliability, Security, and Technology Committee (RSTC) endorsed the SAR on October 19, 2020.</w:t>
      </w:r>
    </w:p>
    <w:p w14:paraId="4F953BB7" w14:textId="77777777" w:rsidR="00A96854" w:rsidRPr="00D10014" w:rsidRDefault="00A96854" w:rsidP="00A96854">
      <w:pPr>
        <w:pStyle w:val="NormalWeb"/>
        <w:rPr>
          <w:rFonts w:asciiTheme="minorHAnsi" w:hAnsiTheme="minorHAnsi"/>
        </w:rPr>
      </w:pPr>
      <w:r w:rsidRPr="00D10014">
        <w:rPr>
          <w:rFonts w:asciiTheme="minorHAnsi" w:hAnsiTheme="minorHAnsi"/>
        </w:rPr>
        <w:t>PRC-019-2 addresses the reliability issue of miscoordination</w:t>
      </w:r>
      <w:bookmarkStart w:id="2" w:name="_GoBack"/>
      <w:bookmarkEnd w:id="2"/>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2B20AF07" w14:textId="77777777" w:rsidR="00A96854" w:rsidRPr="00D10014" w:rsidRDefault="00A96854" w:rsidP="00A96854">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1FE76754" w14:textId="77777777" w:rsidR="00A96854" w:rsidRPr="00D10014" w:rsidRDefault="00A96854" w:rsidP="00A9685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1"/>
    <w:p w14:paraId="75FF7DE2" w14:textId="284310B1"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w:t>
      </w:r>
      <w:r w:rsidR="00A96854">
        <w:rPr>
          <w:rStyle w:val="BoxText"/>
          <w:rFonts w:ascii="Tahoma" w:eastAsiaTheme="minorHAnsi" w:hAnsi="Tahoma"/>
          <w:sz w:val="22"/>
          <w:szCs w:val="22"/>
        </w:rPr>
        <w:t>5</w:t>
      </w:r>
      <w:r w:rsidR="001E0197" w:rsidRPr="001E0197">
        <w:rPr>
          <w:rStyle w:val="BoxText"/>
          <w:rFonts w:ascii="Tahoma" w:eastAsiaTheme="minorHAnsi" w:hAnsi="Tahoma"/>
          <w:sz w:val="22"/>
          <w:szCs w:val="22"/>
        </w:rPr>
        <w:t xml:space="preserve">, </w:t>
      </w:r>
      <w:r w:rsidR="00A96854">
        <w:rPr>
          <w:rStyle w:val="BoxText"/>
          <w:rFonts w:ascii="Tahoma" w:eastAsiaTheme="minorHAnsi" w:hAnsi="Tahoma"/>
          <w:sz w:val="22"/>
          <w:szCs w:val="22"/>
        </w:rPr>
        <w:t>PRC-019</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38221A1A" w:rsidR="00FE0E58" w:rsidRDefault="00A96854"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A96854">
        <w:rPr>
          <w:rFonts w:asciiTheme="minorHAnsi" w:eastAsia="Times New Roman" w:hAnsiTheme="minorHAnsi"/>
          <w:color w:val="000000"/>
          <w:sz w:val="24"/>
          <w:szCs w:val="24"/>
          <w:lang w:eastAsia="en-US"/>
        </w:rPr>
        <w:t xml:space="preserve">Verification and Data Reporting of Generator Real and Reactive Power </w:t>
      </w:r>
    </w:p>
    <w:p w14:paraId="0F502F7D" w14:textId="65FD5828"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4E1D58BF"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Owners and Transmission Owners is analyzed and used appropriately by Transmission Planners and Planning Coordinators </w:t>
      </w:r>
    </w:p>
    <w:p w14:paraId="788FE601" w14:textId="7F7C45CC"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interrelation</w:t>
      </w:r>
      <w:r w:rsidRPr="00FE0E58">
        <w:rPr>
          <w:rFonts w:asciiTheme="minorHAnsi" w:eastAsia="Times New Roman" w:hAnsiTheme="minorHAnsi"/>
          <w:color w:val="000000"/>
          <w:sz w:val="24"/>
          <w:szCs w:val="24"/>
          <w:lang w:eastAsia="en-US"/>
        </w:rPr>
        <w:t xml:space="preserve"> of the MOD-025 standard with MOD-032-1 regarding data submittals for annual case creation and PRC-019-2 regarding collection of information that can be effectively used for verification purposes</w:t>
      </w:r>
    </w:p>
    <w:p w14:paraId="4377B8E9" w14:textId="55F4E7DD"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e</w:t>
      </w:r>
      <w:r w:rsidRPr="00FE0E58">
        <w:rPr>
          <w:rFonts w:asciiTheme="minorHAnsi" w:eastAsia="Times New Roman" w:hAnsiTheme="minorHAnsi"/>
          <w:color w:val="000000"/>
          <w:sz w:val="24"/>
          <w:szCs w:val="24"/>
          <w:lang w:eastAsia="en-US"/>
        </w:rPr>
        <w:t xml:space="preserve">quipment limitations </w:t>
      </w:r>
      <w:r>
        <w:rPr>
          <w:rFonts w:asciiTheme="minorHAnsi" w:eastAsia="Times New Roman" w:hAnsiTheme="minorHAnsi"/>
          <w:color w:val="000000"/>
          <w:sz w:val="24"/>
          <w:szCs w:val="24"/>
          <w:lang w:eastAsia="en-US"/>
        </w:rPr>
        <w:t>and how they are</w:t>
      </w:r>
      <w:r w:rsidRPr="00FE0E58">
        <w:rPr>
          <w:rFonts w:asciiTheme="minorHAnsi" w:eastAsia="Times New Roman" w:hAnsiTheme="minorHAnsi"/>
          <w:color w:val="000000"/>
          <w:sz w:val="24"/>
          <w:szCs w:val="24"/>
          <w:lang w:eastAsia="en-US"/>
        </w:rPr>
        <w:t xml:space="preserve"> documented and classified as expected (e.g., system voltage limit reached) or unexpected (e.g., plant tripped or excitation limiter reached unexpectedly</w:t>
      </w:r>
      <w:r>
        <w:rPr>
          <w:rFonts w:asciiTheme="minorHAnsi" w:eastAsia="Times New Roman" w:hAnsiTheme="minorHAnsi"/>
          <w:color w:val="000000"/>
          <w:sz w:val="24"/>
          <w:szCs w:val="24"/>
          <w:lang w:eastAsia="en-US"/>
        </w:rPr>
        <w:t>)</w:t>
      </w:r>
      <w:r w:rsidRPr="00FE0E58">
        <w:rPr>
          <w:rFonts w:asciiTheme="minorHAnsi" w:eastAsia="Times New Roman" w:hAnsiTheme="minorHAnsi"/>
          <w:color w:val="000000"/>
          <w:sz w:val="24"/>
          <w:szCs w:val="24"/>
          <w:lang w:eastAsia="en-US"/>
        </w:rPr>
        <w:t xml:space="preserve"> </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177A1B">
              <w:rPr>
                <w:rFonts w:cs="Arial"/>
              </w:rPr>
            </w:r>
            <w:r w:rsidR="00177A1B">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77A1B">
              <w:rPr>
                <w:rStyle w:val="BoxText"/>
                <w:rFonts w:asciiTheme="minorHAnsi" w:hAnsiTheme="minorHAnsi"/>
                <w:b w:val="0"/>
                <w:sz w:val="24"/>
              </w:rPr>
            </w:r>
            <w:r w:rsidR="00177A1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77A1B">
              <w:rPr>
                <w:rFonts w:cs="Arial"/>
              </w:rPr>
            </w:r>
            <w:r w:rsidR="00177A1B">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77A1B">
              <w:rPr>
                <w:rFonts w:ascii="Verdana" w:hAnsi="Verdana" w:cs="Arial"/>
              </w:rPr>
            </w:r>
            <w:r w:rsidR="00177A1B">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77A1B">
              <w:rPr>
                <w:rStyle w:val="BoxText"/>
                <w:rFonts w:ascii="Verdana" w:hAnsi="Verdana"/>
                <w:b w:val="0"/>
                <w:sz w:val="24"/>
              </w:rPr>
            </w:r>
            <w:r w:rsidR="00177A1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77A1B">
              <w:rPr>
                <w:rStyle w:val="BoxText"/>
                <w:rFonts w:asciiTheme="minorHAnsi" w:hAnsiTheme="minorHAnsi" w:cs="Arial"/>
                <w:b w:val="0"/>
                <w:sz w:val="24"/>
              </w:rPr>
            </w:r>
            <w:r w:rsidR="00177A1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6A8D" w14:textId="77777777" w:rsidR="00177A1B" w:rsidRDefault="00177A1B">
      <w:r>
        <w:separator/>
      </w:r>
    </w:p>
  </w:endnote>
  <w:endnote w:type="continuationSeparator" w:id="0">
    <w:p w14:paraId="3CEC51A1" w14:textId="77777777" w:rsidR="00177A1B" w:rsidRDefault="001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149C22F"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FE0E58">
      <w:t>1-01 Modifications to MOD-025 and PRC-019</w:t>
    </w:r>
    <w:r w:rsidR="000D461B">
      <w:rPr>
        <w:bCs/>
      </w:rPr>
      <w:t xml:space="preserve"> </w:t>
    </w:r>
    <w:r w:rsidR="00FE0E58">
      <w:t>| March 2021</w:t>
    </w:r>
    <w:r>
      <w:tab/>
    </w:r>
    <w:r w:rsidR="001F52FD">
      <w:fldChar w:fldCharType="begin"/>
    </w:r>
    <w:r w:rsidR="001F52FD">
      <w:instrText xml:space="preserve"> PAGE </w:instrText>
    </w:r>
    <w:r w:rsidR="001F52FD">
      <w:fldChar w:fldCharType="separate"/>
    </w:r>
    <w:r w:rsidR="00DE3EFB">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8B4E" w14:textId="77777777" w:rsidR="00177A1B" w:rsidRDefault="00177A1B">
      <w:r>
        <w:separator/>
      </w:r>
    </w:p>
  </w:footnote>
  <w:footnote w:type="continuationSeparator" w:id="0">
    <w:p w14:paraId="687BEDD9" w14:textId="77777777" w:rsidR="00177A1B" w:rsidRDefault="00177A1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53A4F"/>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FDB5993C-9CDF-4483-8CCA-99BBBA7DC58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_2021-01_Modifications_to_MOD-025_and_PRC-019.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V5FEZNQ3RRSY-729300196-1614</_dlc_DocId>
    <_dlc_DocIdUrl xmlns="cbf880be-c7c2-4487-81cc-39803b2f2238">
      <Url>http://departments.internal.nerc.com/StandardsDev/_layouts/15/DocIdRedir.aspx?ID=V5FEZNQ3RRSY-729300196-1614</Url>
      <Description>V5FEZNQ3RRSY-729300196-1614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DD86-9883-464E-8A70-BC4F3071E0A0}"/>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EA77366C-52C6-4054-B724-63A1AB554D11}"/>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A5344FC6-C114-42D5-89F5-7D9BE55E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77902-BCC3-4D68-AC11-1CE66CD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2021-03-01T16:30:00Z</dcterms:created>
  <dcterms:modified xsi:type="dcterms:W3CDTF">2021-03-03T20:41:00Z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