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02669DB6"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6C1358">
        <w:rPr>
          <w:b w:val="0"/>
          <w:bCs w:val="0"/>
          <w:sz w:val="32"/>
        </w:rPr>
        <w:t>Project 2020-05</w:t>
      </w:r>
      <w:r w:rsidR="00F41C9E" w:rsidRPr="00F41C9E">
        <w:rPr>
          <w:b w:val="0"/>
          <w:bCs w:val="0"/>
          <w:sz w:val="32"/>
        </w:rPr>
        <w:t xml:space="preserve"> </w:t>
      </w:r>
      <w:r w:rsidR="006C1358">
        <w:rPr>
          <w:b w:val="0"/>
          <w:bCs w:val="0"/>
          <w:sz w:val="32"/>
        </w:rPr>
        <w:t>Modifications to FAC-001-3 and FAC-002-2</w:t>
      </w:r>
      <w:r w:rsidR="0000166A" w:rsidRPr="00833311">
        <w:rPr>
          <w:b w:val="0"/>
          <w:sz w:val="36"/>
          <w:szCs w:val="36"/>
        </w:rPr>
        <w:br/>
      </w:r>
    </w:p>
    <w:p w14:paraId="4338961D" w14:textId="2EFDE595"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A64C69" w:rsidRPr="002C4BA1">
          <w:rPr>
            <w:rStyle w:val="Hyperlink"/>
            <w:rFonts w:cs="Arial"/>
          </w:rPr>
          <w:t>electronic form</w:t>
        </w:r>
      </w:hyperlink>
      <w:bookmarkStart w:id="1" w:name="_GoBack"/>
      <w:bookmarkEnd w:id="1"/>
      <w:r w:rsidR="00A64C69">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6C1358">
        <w:rPr>
          <w:rStyle w:val="Strong"/>
          <w:rFonts w:ascii="Calibri" w:hAnsi="Calibri" w:cs="Arial"/>
        </w:rPr>
        <w:t>Friday, December 11</w:t>
      </w:r>
      <w:r w:rsidR="00F41C9E">
        <w:rPr>
          <w:rStyle w:val="Strong"/>
          <w:rFonts w:ascii="Calibri" w:hAnsi="Calibri" w:cs="Arial"/>
        </w:rPr>
        <w:t>, 2020</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56F7771B"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373071">
        <w:t xml:space="preserve"> </w:t>
      </w:r>
      <w:hyperlink r:id="rId14" w:history="1">
        <w:r w:rsidR="00373071" w:rsidRPr="00035DFF">
          <w:rPr>
            <w:rStyle w:val="Hyperlink"/>
          </w:rPr>
          <w:t>project page</w:t>
        </w:r>
      </w:hyperlink>
      <w:r w:rsidR="00833311">
        <w:t>.</w:t>
      </w:r>
      <w:r w:rsidR="00F41C9E" w:rsidRPr="00F41C9E">
        <w:t xml:space="preserve"> </w:t>
      </w:r>
      <w:r w:rsidR="00F41C9E" w:rsidRPr="00786AD7">
        <w:t>If you have questions</w:t>
      </w:r>
      <w:r w:rsidR="00F41C9E">
        <w:t xml:space="preserve">, </w:t>
      </w:r>
      <w:r w:rsidR="00F41C9E" w:rsidRPr="00C74DBC">
        <w:t>contact</w:t>
      </w:r>
      <w:r w:rsidR="00F41C9E">
        <w:t xml:space="preserve"> Senior Standards Developer, </w:t>
      </w:r>
      <w:hyperlink r:id="rId15" w:history="1">
        <w:r w:rsidR="00F41C9E" w:rsidRPr="00032D06">
          <w:rPr>
            <w:rStyle w:val="Hyperlink"/>
          </w:rPr>
          <w:t>Alison Oswald</w:t>
        </w:r>
      </w:hyperlink>
      <w:r w:rsidR="00F41C9E" w:rsidRPr="00F86A52">
        <w:t xml:space="preserve"> (via email)</w:t>
      </w:r>
      <w:r w:rsidR="00F41C9E">
        <w:t>,</w:t>
      </w:r>
      <w:r w:rsidR="00F41C9E" w:rsidRPr="00F86A52">
        <w:t xml:space="preserve"> or at </w:t>
      </w:r>
      <w:r w:rsidR="00F41C9E">
        <w:t>404-446-9668.</w:t>
      </w:r>
    </w:p>
    <w:p w14:paraId="4338961F" w14:textId="77777777" w:rsidR="00816016" w:rsidRDefault="00816016" w:rsidP="00816016">
      <w:pPr>
        <w:rPr>
          <w:rFonts w:ascii="Verdana" w:hAnsi="Verdana" w:cs="Arial"/>
          <w:sz w:val="18"/>
          <w:szCs w:val="18"/>
        </w:rPr>
      </w:pPr>
    </w:p>
    <w:p w14:paraId="43389620" w14:textId="09196255" w:rsidR="0062446B"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r w:rsidR="007028C0">
        <w:rPr>
          <w:color w:val="000000"/>
        </w:rPr>
        <w:t xml:space="preserve"> </w:t>
      </w:r>
    </w:p>
    <w:p w14:paraId="1B4C2352" w14:textId="2C89B9FE" w:rsidR="007028C0" w:rsidRDefault="007028C0"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15554E46" w14:textId="77777777" w:rsidR="00510B86" w:rsidRDefault="00510B86" w:rsidP="00510B86">
      <w:pPr>
        <w:ind w:right="-86"/>
        <w:rPr>
          <w:rFonts w:ascii="Calibri" w:eastAsia="MS Mincho" w:hAnsi="Calibri"/>
        </w:rPr>
      </w:pPr>
      <w:r>
        <w:rPr>
          <w:rStyle w:val="BoxText"/>
          <w:rFonts w:ascii="Tahoma" w:hAnsi="Tahoma" w:cs="Tahoma"/>
          <w:sz w:val="22"/>
          <w:szCs w:val="22"/>
        </w:rPr>
        <w:t>Modifications to FAC-001-3 and FAC-002-2</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Pr>
          <w:rFonts w:ascii="Calibri" w:eastAsia="MS Mincho" w:hAnsi="Calibri"/>
        </w:rPr>
        <w:t xml:space="preserve">The NERC Inverter-based Resource Performance Task Force (IRPTF) </w:t>
      </w:r>
      <w:r>
        <w:t>undertook an effort to perform a comprehensive review of all NERC Reliability Standards to determine if there were any potential gaps or improvements based on the work and find</w:t>
      </w:r>
      <w:r>
        <w:lastRenderedPageBreak/>
        <w:t>ings of the IRPTF.  The IRPTF identified several issues as part of this effort and documented its findings and recommendations in a white paper.  The “IRPTF Review of NERC Reliability Standards White Paper”</w:t>
      </w:r>
      <w:r>
        <w:rPr>
          <w:rStyle w:val="FootnoteReference"/>
        </w:rPr>
        <w:footnoteReference w:id="1"/>
      </w:r>
      <w:r>
        <w:t xml:space="preserve"> was approved by the Operating Committee and the Planning Committee in March 2020.  </w:t>
      </w:r>
      <w:r>
        <w:rPr>
          <w:rFonts w:ascii="Calibri" w:eastAsia="MS Mincho" w:hAnsi="Calibri"/>
        </w:rPr>
        <w:t xml:space="preserve">Among the findings noted in the white paper, the IRPTF identified issues with FAC-001-3 and FAC-002-2 that should be addressed.  </w:t>
      </w:r>
    </w:p>
    <w:p w14:paraId="4C3157B3" w14:textId="77777777" w:rsidR="00510B86" w:rsidRDefault="00510B86" w:rsidP="00510B86">
      <w:pPr>
        <w:ind w:right="-86"/>
        <w:rPr>
          <w:rFonts w:ascii="Calibri" w:eastAsia="MS Mincho" w:hAnsi="Calibri"/>
        </w:rPr>
      </w:pPr>
    </w:p>
    <w:p w14:paraId="140A9492" w14:textId="77777777" w:rsidR="00510B86" w:rsidRDefault="00510B86" w:rsidP="00E65BE5">
      <w:pPr>
        <w:rPr>
          <w:rFonts w:cstheme="minorHAnsi"/>
          <w:szCs w:val="20"/>
        </w:rPr>
      </w:pPr>
      <w:r>
        <w:rPr>
          <w:rFonts w:cstheme="minorHAnsi"/>
          <w:szCs w:val="20"/>
        </w:rPr>
        <w:t>FAC-001-3 and FAC-002-2 imply that the term “materially modified” should be used to distinguish between facility changes that are required to be studied and those that need not be studied.  While the existing standards do require coordination and cooperation between a Facility owner and the Transmission Planner or Planning Coordinator when a new or materially modified interconnection Facility is connected to their system, neither standard specifies what entity is responsible for determining what is considered to be a material modification.  Further, the existing language is unclear about whether these requirements only apply when a different entity is proposing to interconnect to a Facility owner’s Facility or if they also apply to the Facility owner’s new or modified Facility.</w:t>
      </w:r>
    </w:p>
    <w:p w14:paraId="74F24FAC" w14:textId="77777777" w:rsidR="00510B86" w:rsidRDefault="00510B86" w:rsidP="00510B86">
      <w:pPr>
        <w:jc w:val="both"/>
        <w:rPr>
          <w:rFonts w:cstheme="minorHAnsi"/>
          <w:szCs w:val="20"/>
        </w:rPr>
      </w:pPr>
    </w:p>
    <w:p w14:paraId="43389627" w14:textId="0EE760E4" w:rsidR="00E24246" w:rsidRPr="0062446B" w:rsidRDefault="00510B86" w:rsidP="00510B86">
      <w:pPr>
        <w:ind w:right="-86"/>
        <w:rPr>
          <w:rFonts w:cs="Tahoma"/>
          <w:highlight w:val="yellow"/>
        </w:rPr>
      </w:pPr>
      <w:r>
        <w:rPr>
          <w:rFonts w:cstheme="minorHAnsi"/>
          <w:szCs w:val="20"/>
        </w:rPr>
        <w:t>Additionally, in FERC-jurisdictional areas, the term “Materially Modification” refers to a new generation project’s impact on other generators in the interconnection queue. This has led to widespread confusion across the industry regarding the correct appli</w:t>
      </w:r>
      <w:r>
        <w:rPr>
          <w:rFonts w:cstheme="minorHAnsi"/>
          <w:szCs w:val="20"/>
        </w:rPr>
        <w:lastRenderedPageBreak/>
        <w:t>cation of these terms related to the FERC Open Access Transmission Tariff (OATT) implementation and the NERC Reliability Standards requirements. The application of these terms is different between the FERC process and the NERC Reliability Standards (specifically FAC-001-3 and FAC-002-2).  This project will modify FAC-001-3 and FAC-002-2 to clarify the use of “materially modifying”, particularly as it relates to compliance with the standards.</w:t>
      </w:r>
      <w:r w:rsidRPr="00F16198">
        <w:rPr>
          <w:rFonts w:ascii="Calibri" w:hAnsi="Calibri" w:cs="Calibri"/>
          <w:color w:val="000000"/>
        </w:rPr>
        <w:br/>
      </w:r>
      <w:r w:rsidR="0062446B" w:rsidRPr="0062446B">
        <w:rPr>
          <w:rFonts w:cs="Tahoma"/>
          <w:highlight w:val="yellow"/>
        </w:rPr>
        <w:t xml:space="preserve"> </w:t>
      </w:r>
    </w:p>
    <w:p w14:paraId="43389628" w14:textId="6E9282A0" w:rsidR="00476B91" w:rsidRPr="00476B91" w:rsidRDefault="00476B91" w:rsidP="00476B91">
      <w:pPr>
        <w:shd w:val="clear" w:color="auto" w:fill="FFFFFF"/>
        <w:ind w:left="1" w:right="2"/>
      </w:pPr>
      <w:r w:rsidRPr="00833311">
        <w:rPr>
          <w:rFonts w:cs="Tahoma"/>
          <w:b/>
          <w:bCs/>
          <w:color w:val="000000"/>
        </w:rPr>
        <w:t>Standards affected:</w:t>
      </w:r>
      <w:r w:rsidRPr="00476B91">
        <w:rPr>
          <w:rFonts w:cs="Tahoma"/>
          <w:b/>
          <w:bCs/>
          <w:color w:val="000000"/>
        </w:rPr>
        <w:t xml:space="preserve"> </w:t>
      </w:r>
      <w:r w:rsidR="00EB711F">
        <w:rPr>
          <w:rFonts w:cs="Tahoma"/>
          <w:b/>
          <w:bCs/>
          <w:color w:val="000000"/>
        </w:rPr>
        <w:t>FAC-001-3 and FAC-002-2</w:t>
      </w:r>
    </w:p>
    <w:p w14:paraId="3A20ED30" w14:textId="257E67D9" w:rsidR="00487E9F" w:rsidRDefault="00487E9F" w:rsidP="00816016">
      <w:pPr>
        <w:rPr>
          <w:rStyle w:val="BoxText"/>
          <w:rFonts w:asciiTheme="minorHAnsi" w:hAnsiTheme="minorHAnsi" w:cs="Arial"/>
          <w:b w:val="0"/>
          <w:sz w:val="24"/>
        </w:rPr>
      </w:pPr>
    </w:p>
    <w:p w14:paraId="0F8A1B58" w14:textId="42393691" w:rsidR="00726A02" w:rsidRPr="00193AE7" w:rsidRDefault="00487E9F" w:rsidP="00373071">
      <w:pPr>
        <w:ind w:left="-5" w:right="378"/>
        <w:rPr>
          <w:rFonts w:cs="Arial"/>
        </w:rPr>
      </w:pPr>
      <w:r w:rsidRPr="004C0DCD">
        <w:rPr>
          <w:color w:val="000000"/>
        </w:rPr>
        <w:t>The time commitment for th</w:t>
      </w:r>
      <w:r w:rsidR="00EB0E84">
        <w:rPr>
          <w:color w:val="000000"/>
        </w:rPr>
        <w:t>is</w:t>
      </w:r>
      <w:r w:rsidRPr="004C0DCD">
        <w:rPr>
          <w:color w:val="000000"/>
        </w:rPr>
        <w:t xml:space="preserve"> project is expected to be </w:t>
      </w:r>
      <w:r w:rsidR="00EB711F">
        <w:rPr>
          <w:color w:val="000000"/>
        </w:rPr>
        <w:t>one</w:t>
      </w:r>
      <w:r w:rsidRPr="004C0DCD">
        <w:rPr>
          <w:color w:val="000000"/>
        </w:rPr>
        <w:t xml:space="preserve"> </w:t>
      </w:r>
      <w:r w:rsidR="00EB711F">
        <w:rPr>
          <w:color w:val="000000"/>
        </w:rPr>
        <w:t>meeting</w:t>
      </w:r>
      <w:r w:rsidRPr="004C0DCD">
        <w:rPr>
          <w:color w:val="000000"/>
        </w:rPr>
        <w:t xml:space="preserve"> per quarter (on average two</w:t>
      </w:r>
      <w:r w:rsidR="00D71C43">
        <w:rPr>
          <w:color w:val="000000"/>
        </w:rPr>
        <w:t xml:space="preserve"> </w:t>
      </w:r>
      <w:r w:rsidR="00510B86">
        <w:rPr>
          <w:color w:val="000000"/>
        </w:rPr>
        <w:t xml:space="preserve">and a half </w:t>
      </w:r>
      <w:r w:rsidRPr="004C0DCD">
        <w:rPr>
          <w:color w:val="000000"/>
        </w:rPr>
        <w:t>full working days each meeting) with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w:t>
      </w:r>
      <w:r w:rsidR="00B86AB0" w:rsidRPr="001C246A">
        <w:rPr>
          <w:color w:val="000000"/>
        </w:rPr>
        <w:t>outcome</w:t>
      </w:r>
      <w:r w:rsidRPr="001C246A">
        <w:rPr>
          <w:color w:val="000000"/>
        </w:rPr>
        <w:t>.</w:t>
      </w:r>
      <w:r w:rsidR="00D71C43" w:rsidRPr="001C246A">
        <w:rPr>
          <w:color w:val="000000"/>
        </w:rPr>
        <w:t xml:space="preserve"> NERC is seeking individuals who have significiant subject matter expertise </w:t>
      </w:r>
      <w:r w:rsidR="00510B86" w:rsidRPr="001C246A">
        <w:rPr>
          <w:color w:val="000000"/>
        </w:rPr>
        <w:t>with facility interconnection requirements and studies</w:t>
      </w:r>
      <w:r w:rsidR="00F97B68" w:rsidRPr="001C246A">
        <w:rPr>
          <w:color w:val="000000"/>
        </w:rPr>
        <w:t xml:space="preserve">. </w:t>
      </w:r>
      <w:r w:rsidR="00F97B68" w:rsidRPr="001C246A">
        <w:t xml:space="preserve">Expertise </w:t>
      </w:r>
      <w:r w:rsidR="001C246A" w:rsidRPr="001C246A">
        <w:t>with FERC Open Access Transmission Tariff (OATT) implementation</w:t>
      </w:r>
      <w:r w:rsidR="00F97B68" w:rsidRPr="001C246A">
        <w:t xml:space="preserve"> </w:t>
      </w:r>
      <w:r w:rsidR="00805B84" w:rsidRPr="001C246A">
        <w:t>is</w:t>
      </w:r>
      <w:r w:rsidR="001C246A" w:rsidRPr="001C246A">
        <w:t xml:space="preserve"> also</w:t>
      </w:r>
      <w:r w:rsidR="00805B84" w:rsidRPr="001C246A">
        <w:t xml:space="preserve"> needed.</w:t>
      </w:r>
      <w:r w:rsidR="00805B84">
        <w:t xml:space="preserve"> </w:t>
      </w:r>
    </w:p>
    <w:p w14:paraId="3696B04E" w14:textId="77777777" w:rsidR="00726A02" w:rsidRDefault="00726A02">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72B4F">
              <w:rPr>
                <w:rFonts w:cs="Arial"/>
              </w:rPr>
            </w:r>
            <w:r w:rsidR="00872B4F">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72B4F">
              <w:rPr>
                <w:rFonts w:cs="Arial"/>
              </w:rPr>
            </w:r>
            <w:r w:rsidR="00872B4F">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72B4F">
              <w:rPr>
                <w:rFonts w:cs="Arial"/>
              </w:rPr>
            </w:r>
            <w:r w:rsidR="00872B4F">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72B4F">
              <w:rPr>
                <w:rFonts w:cs="Arial"/>
              </w:rPr>
            </w:r>
            <w:r w:rsidR="00872B4F">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bl>
    <w:p w14:paraId="08A3FA10" w14:textId="77777777" w:rsidR="00373071" w:rsidRDefault="00373071">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10"/>
        <w:gridCol w:w="2250"/>
        <w:gridCol w:w="5942"/>
      </w:tblGrid>
      <w:tr w:rsidR="008A07D5" w:rsidRPr="00E23D20" w14:paraId="4BDCFD26" w14:textId="77777777" w:rsidTr="00202BB5">
        <w:trPr>
          <w:trHeight w:val="621"/>
          <w:jc w:val="center"/>
        </w:trPr>
        <w:tc>
          <w:tcPr>
            <w:tcW w:w="10356" w:type="dxa"/>
            <w:gridSpan w:val="4"/>
            <w:tcBorders>
              <w:bottom w:val="single" w:sz="4" w:space="0" w:color="auto"/>
            </w:tcBorders>
          </w:tcPr>
          <w:p w14:paraId="3B23861B" w14:textId="588886B0"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872B4F">
              <w:rPr>
                <w:rFonts w:cs="Arial"/>
              </w:rPr>
            </w:r>
            <w:r w:rsidR="00872B4F">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blPrEx>
          <w:tblLook w:val="0000" w:firstRow="0" w:lastRow="0" w:firstColumn="0" w:lastColumn="0" w:noHBand="0" w:noVBand="0"/>
        </w:tblPrEx>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72B4F">
              <w:rPr>
                <w:rStyle w:val="BoxText"/>
                <w:rFonts w:asciiTheme="minorHAnsi" w:hAnsiTheme="minorHAnsi"/>
                <w:b w:val="0"/>
                <w:sz w:val="24"/>
              </w:rPr>
            </w:r>
            <w:r w:rsidR="00872B4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872B4F">
              <w:rPr>
                <w:rStyle w:val="BoxText"/>
                <w:rFonts w:asciiTheme="minorHAnsi" w:hAnsiTheme="minorHAnsi"/>
                <w:b w:val="0"/>
                <w:sz w:val="24"/>
              </w:rPr>
            </w:r>
            <w:r w:rsidR="00872B4F">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872B4F">
              <w:rPr>
                <w:rStyle w:val="BoxText"/>
                <w:rFonts w:asciiTheme="minorHAnsi" w:hAnsiTheme="minorHAnsi"/>
                <w:b w:val="0"/>
                <w:sz w:val="24"/>
              </w:rPr>
            </w:r>
            <w:r w:rsidR="00872B4F">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72B4F">
              <w:rPr>
                <w:rStyle w:val="BoxText"/>
                <w:rFonts w:asciiTheme="minorHAnsi" w:hAnsiTheme="minorHAnsi"/>
                <w:b w:val="0"/>
                <w:sz w:val="24"/>
              </w:rPr>
            </w:r>
            <w:r w:rsidR="00872B4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872B4F">
              <w:rPr>
                <w:rStyle w:val="BoxText"/>
                <w:rFonts w:asciiTheme="minorHAnsi" w:hAnsiTheme="minorHAnsi"/>
                <w:b w:val="0"/>
                <w:sz w:val="24"/>
              </w:rPr>
            </w:r>
            <w:r w:rsidR="00872B4F">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872B4F">
              <w:rPr>
                <w:rStyle w:val="BoxText"/>
                <w:rFonts w:asciiTheme="minorHAnsi" w:hAnsiTheme="minorHAnsi"/>
                <w:b w:val="0"/>
                <w:sz w:val="24"/>
              </w:rPr>
            </w:r>
            <w:r w:rsidR="00872B4F">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872B4F">
              <w:rPr>
                <w:rFonts w:cs="Arial"/>
              </w:rPr>
            </w:r>
            <w:r w:rsidR="00872B4F">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r w:rsidR="00563006" w:rsidRPr="00081BCE" w14:paraId="43389658" w14:textId="77777777" w:rsidTr="00202BB5">
        <w:trPr>
          <w:trHeight w:val="621"/>
          <w:jc w:val="center"/>
        </w:trPr>
        <w:tc>
          <w:tcPr>
            <w:tcW w:w="10356" w:type="dxa"/>
            <w:gridSpan w:val="4"/>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872B4F">
              <w:rPr>
                <w:rStyle w:val="BoxText"/>
                <w:rFonts w:ascii="Verdana" w:hAnsi="Verdana"/>
                <w:b w:val="0"/>
                <w:sz w:val="24"/>
              </w:rPr>
            </w:r>
            <w:r w:rsidR="00872B4F">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3"/>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4293399E" w14:textId="77777777" w:rsidR="00373071" w:rsidRDefault="00373071">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gridCol w:w="11"/>
      </w:tblGrid>
      <w:tr w:rsidR="00FD1345" w:rsidRPr="00081BCE" w14:paraId="4338967B" w14:textId="77777777" w:rsidTr="00373071">
        <w:trPr>
          <w:cantSplit/>
          <w:trHeight w:val="350"/>
          <w:jc w:val="center"/>
        </w:trPr>
        <w:tc>
          <w:tcPr>
            <w:tcW w:w="10356" w:type="dxa"/>
            <w:gridSpan w:val="5"/>
            <w:shd w:val="clear" w:color="auto" w:fill="204C81"/>
            <w:vAlign w:val="center"/>
          </w:tcPr>
          <w:p w14:paraId="4338967A" w14:textId="4676471F"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373071">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gridSpan w:val="3"/>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4338968F" w14:textId="77777777" w:rsidTr="00373071">
        <w:trPr>
          <w:gridAfter w:val="1"/>
          <w:wAfter w:w="11" w:type="dxa"/>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373071">
        <w:trPr>
          <w:gridAfter w:val="1"/>
          <w:wAfter w:w="11" w:type="dxa"/>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373071">
        <w:trPr>
          <w:gridAfter w:val="1"/>
          <w:wAfter w:w="11" w:type="dxa"/>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373071">
        <w:trPr>
          <w:gridAfter w:val="1"/>
          <w:wAfter w:w="11" w:type="dxa"/>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373071">
        <w:trPr>
          <w:gridAfter w:val="1"/>
          <w:wAfter w:w="11" w:type="dxa"/>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373071">
        <w:tblPrEx>
          <w:tblLook w:val="04A0" w:firstRow="1" w:lastRow="0" w:firstColumn="1" w:lastColumn="0" w:noHBand="0" w:noVBand="1"/>
        </w:tblPrEx>
        <w:trPr>
          <w:gridAfter w:val="1"/>
          <w:wAfter w:w="11" w:type="dxa"/>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373071">
        <w:tblPrEx>
          <w:tblLook w:val="04A0" w:firstRow="1" w:lastRow="0" w:firstColumn="1" w:lastColumn="0" w:noHBand="0" w:noVBand="1"/>
        </w:tblPrEx>
        <w:trPr>
          <w:gridAfter w:val="1"/>
          <w:wAfter w:w="11" w:type="dxa"/>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373071">
        <w:tblPrEx>
          <w:tblLook w:val="04A0" w:firstRow="1" w:lastRow="0" w:firstColumn="1" w:lastColumn="0" w:noHBand="0" w:noVBand="1"/>
        </w:tblPrEx>
        <w:trPr>
          <w:gridAfter w:val="1"/>
          <w:wAfter w:w="11" w:type="dxa"/>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EF09E33" w:rsidR="002F2BFE" w:rsidRDefault="002F2BFE" w:rsidP="00373071">
      <w:pPr>
        <w:pStyle w:val="NormalTimes"/>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896A8" w14:textId="77777777" w:rsidR="002E488B" w:rsidRDefault="002E488B">
      <w:r>
        <w:separator/>
      </w:r>
    </w:p>
  </w:endnote>
  <w:endnote w:type="continuationSeparator" w:id="0">
    <w:p w14:paraId="433896A9" w14:textId="77777777" w:rsidR="002E488B" w:rsidRDefault="002E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3A48EA36" w:rsidR="00896153" w:rsidRPr="00855BA8" w:rsidRDefault="00896153" w:rsidP="0002368A">
    <w:pPr>
      <w:pStyle w:val="Footer"/>
      <w:tabs>
        <w:tab w:val="clear" w:pos="10354"/>
        <w:tab w:val="right" w:pos="10350"/>
      </w:tabs>
      <w:ind w:left="0" w:right="18"/>
    </w:pPr>
    <w:r>
      <w:t>Unofficial Nomination Form</w:t>
    </w:r>
    <w:r w:rsidR="00373071" w:rsidRPr="00373071">
      <w:t xml:space="preserve"> </w:t>
    </w:r>
    <w:r w:rsidR="00373071">
      <w:t xml:space="preserve">| </w:t>
    </w:r>
    <w:r w:rsidR="00373071" w:rsidRPr="00833311">
      <w:t xml:space="preserve">Project </w:t>
    </w:r>
    <w:r w:rsidR="00373071">
      <w:t>2020-05 Modifications to</w:t>
    </w:r>
    <w:r w:rsidR="00373071" w:rsidRPr="00833311">
      <w:t xml:space="preserve"> </w:t>
    </w:r>
    <w:r w:rsidR="00373071">
      <w:t>FAC-001-3 and FAC-002-2</w:t>
    </w:r>
    <w:r w:rsidR="0002368A">
      <w:br/>
    </w:r>
    <w:r w:rsidR="00373071">
      <w:t xml:space="preserve">November-December, </w:t>
    </w:r>
    <w:r w:rsidR="00805B84">
      <w:t>2020</w:t>
    </w:r>
    <w:r>
      <w:tab/>
    </w:r>
    <w:r w:rsidR="001F52FD">
      <w:fldChar w:fldCharType="begin"/>
    </w:r>
    <w:r w:rsidR="001F52FD">
      <w:instrText xml:space="preserve"> PAGE </w:instrText>
    </w:r>
    <w:r w:rsidR="001F52FD">
      <w:fldChar w:fldCharType="separate"/>
    </w:r>
    <w:r w:rsidR="00872B4F">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896A6" w14:textId="77777777" w:rsidR="002E488B" w:rsidRDefault="002E488B">
      <w:r>
        <w:separator/>
      </w:r>
    </w:p>
  </w:footnote>
  <w:footnote w:type="continuationSeparator" w:id="0">
    <w:p w14:paraId="433896A7" w14:textId="77777777" w:rsidR="002E488B" w:rsidRDefault="002E488B">
      <w:r>
        <w:continuationSeparator/>
      </w:r>
    </w:p>
  </w:footnote>
  <w:footnote w:id="1">
    <w:p w14:paraId="373F19A7" w14:textId="77777777" w:rsidR="00510B86" w:rsidRDefault="00510B86" w:rsidP="00510B86">
      <w:pPr>
        <w:pStyle w:val="FootnoteText"/>
      </w:pPr>
      <w:r>
        <w:rPr>
          <w:rStyle w:val="FootnoteReference"/>
        </w:rPr>
        <w:footnoteRef/>
      </w:r>
      <w:hyperlink r:id="rId1" w:history="1">
        <w:r w:rsidRPr="00156153">
          <w:rPr>
            <w:rStyle w:val="Hyperlink"/>
          </w:rPr>
          <w:t>https://www.nerc.com/comm/PC/InverterBased%20Resource%20Performance%20Task%20Force%20IRPT/Review_of_NERC_Reliability_Standards_White_Paper.pdf</w:t>
        </w:r>
      </w:hyperlink>
    </w:p>
    <w:p w14:paraId="0AC7DAD6" w14:textId="77777777" w:rsidR="00510B86" w:rsidRDefault="00510B86" w:rsidP="00510B86">
      <w:pPr>
        <w:pStyle w:val="FootnoteText"/>
      </w:pPr>
    </w:p>
  </w:footnote>
  <w:footnote w:id="2">
    <w:p w14:paraId="433896B5" w14:textId="1EC9E9FB" w:rsidR="00896153" w:rsidRDefault="00896153" w:rsidP="00FD1345">
      <w:pPr>
        <w:pStyle w:val="FootnoteText"/>
      </w:pPr>
      <w:r>
        <w:rPr>
          <w:rStyle w:val="FootnoteReference"/>
        </w:rPr>
        <w:footnoteRef/>
      </w:r>
      <w:r>
        <w:t xml:space="preserve"> These functions are defined in the NERC </w:t>
      </w:r>
      <w:hyperlink r:id="rId2"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48BB65F6"/>
    <w:multiLevelType w:val="hybridMultilevel"/>
    <w:tmpl w:val="A47CCFC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35DFF"/>
    <w:rsid w:val="0005763D"/>
    <w:rsid w:val="00064B26"/>
    <w:rsid w:val="00081BCE"/>
    <w:rsid w:val="00090578"/>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C246A"/>
    <w:rsid w:val="001D47FD"/>
    <w:rsid w:val="001F52FD"/>
    <w:rsid w:val="00202BB5"/>
    <w:rsid w:val="00222203"/>
    <w:rsid w:val="00240726"/>
    <w:rsid w:val="00257B0C"/>
    <w:rsid w:val="00260BED"/>
    <w:rsid w:val="00283FB4"/>
    <w:rsid w:val="002B29E4"/>
    <w:rsid w:val="002C4BA1"/>
    <w:rsid w:val="002E2423"/>
    <w:rsid w:val="002E488B"/>
    <w:rsid w:val="002F2BFE"/>
    <w:rsid w:val="00300ABD"/>
    <w:rsid w:val="003134D1"/>
    <w:rsid w:val="003514D6"/>
    <w:rsid w:val="00366A96"/>
    <w:rsid w:val="00373071"/>
    <w:rsid w:val="0038676B"/>
    <w:rsid w:val="0039275D"/>
    <w:rsid w:val="003E1C41"/>
    <w:rsid w:val="0040580D"/>
    <w:rsid w:val="0041064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10B86"/>
    <w:rsid w:val="00520FD1"/>
    <w:rsid w:val="005316C6"/>
    <w:rsid w:val="005316F3"/>
    <w:rsid w:val="00555F79"/>
    <w:rsid w:val="00563006"/>
    <w:rsid w:val="00565AB5"/>
    <w:rsid w:val="00573832"/>
    <w:rsid w:val="00583A5C"/>
    <w:rsid w:val="005A721A"/>
    <w:rsid w:val="005B7382"/>
    <w:rsid w:val="005D3F72"/>
    <w:rsid w:val="00614E63"/>
    <w:rsid w:val="0062446B"/>
    <w:rsid w:val="00631E0B"/>
    <w:rsid w:val="00652754"/>
    <w:rsid w:val="00663305"/>
    <w:rsid w:val="00676CFA"/>
    <w:rsid w:val="006826D0"/>
    <w:rsid w:val="00692F16"/>
    <w:rsid w:val="00694CD1"/>
    <w:rsid w:val="006A71F1"/>
    <w:rsid w:val="006B3EC7"/>
    <w:rsid w:val="006C1358"/>
    <w:rsid w:val="006C1F78"/>
    <w:rsid w:val="006C3C30"/>
    <w:rsid w:val="006C6BAC"/>
    <w:rsid w:val="006E67B7"/>
    <w:rsid w:val="006E7855"/>
    <w:rsid w:val="006E7949"/>
    <w:rsid w:val="007028C0"/>
    <w:rsid w:val="00707018"/>
    <w:rsid w:val="007254EA"/>
    <w:rsid w:val="00726A02"/>
    <w:rsid w:val="00733724"/>
    <w:rsid w:val="0074626C"/>
    <w:rsid w:val="00791651"/>
    <w:rsid w:val="007C5DB6"/>
    <w:rsid w:val="007E79B4"/>
    <w:rsid w:val="00805B84"/>
    <w:rsid w:val="0080753A"/>
    <w:rsid w:val="00816016"/>
    <w:rsid w:val="00833311"/>
    <w:rsid w:val="00855BA8"/>
    <w:rsid w:val="0086391A"/>
    <w:rsid w:val="00872B4F"/>
    <w:rsid w:val="008866E7"/>
    <w:rsid w:val="00896153"/>
    <w:rsid w:val="008A07D5"/>
    <w:rsid w:val="008A2272"/>
    <w:rsid w:val="008C572D"/>
    <w:rsid w:val="008F3E6E"/>
    <w:rsid w:val="00905DC1"/>
    <w:rsid w:val="00930D3B"/>
    <w:rsid w:val="00972C26"/>
    <w:rsid w:val="00997A70"/>
    <w:rsid w:val="009A4ED6"/>
    <w:rsid w:val="009E317C"/>
    <w:rsid w:val="00A15C0A"/>
    <w:rsid w:val="00A35DA7"/>
    <w:rsid w:val="00A64C69"/>
    <w:rsid w:val="00A6738A"/>
    <w:rsid w:val="00AB4D4A"/>
    <w:rsid w:val="00AC0C35"/>
    <w:rsid w:val="00AD1865"/>
    <w:rsid w:val="00B146D4"/>
    <w:rsid w:val="00B240FF"/>
    <w:rsid w:val="00B375B5"/>
    <w:rsid w:val="00B62A1A"/>
    <w:rsid w:val="00B86AB0"/>
    <w:rsid w:val="00BA34E0"/>
    <w:rsid w:val="00BE5580"/>
    <w:rsid w:val="00BF7EF4"/>
    <w:rsid w:val="00C31EA1"/>
    <w:rsid w:val="00C52B81"/>
    <w:rsid w:val="00C802A9"/>
    <w:rsid w:val="00C87293"/>
    <w:rsid w:val="00C975FA"/>
    <w:rsid w:val="00CC7BE7"/>
    <w:rsid w:val="00CF6E4A"/>
    <w:rsid w:val="00D06D7D"/>
    <w:rsid w:val="00D228D6"/>
    <w:rsid w:val="00D34F9C"/>
    <w:rsid w:val="00D56EBF"/>
    <w:rsid w:val="00D5715F"/>
    <w:rsid w:val="00D71B57"/>
    <w:rsid w:val="00D71C43"/>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E65BE5"/>
    <w:rsid w:val="00EB0E84"/>
    <w:rsid w:val="00EB711F"/>
    <w:rsid w:val="00F200CF"/>
    <w:rsid w:val="00F31926"/>
    <w:rsid w:val="00F359FF"/>
    <w:rsid w:val="00F41C9E"/>
    <w:rsid w:val="00F5557A"/>
    <w:rsid w:val="00F97B68"/>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57CE179D-B361-419D-85DC-A2F3FA598B8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nercdotcomstage/pa/Stand/Pages/Project-2020-05-Modifications-to-FAC-001-and-FAC-002.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Functional%20Model%20Advisory%20Group%20DL/FMAG_Inf_Functional%20Model%20v6%20(clean).pdf" TargetMode="External"/><Relationship Id="rId1" Type="http://schemas.openxmlformats.org/officeDocument/2006/relationships/hyperlink" Target="http://nercdotcomstage/comm/PC/InverterBased%20Resource%20Performance%20Task%20Force%20IRPT/Review_of_NERC_Reliability_Standards_White_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544E23209C5A4E913FA5643570418A" ma:contentTypeVersion="1" ma:contentTypeDescription="Create a new document." ma:contentTypeScope="" ma:versionID="7861972e3710fa93ee4985528a9fc0a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ED162-A35A-41DD-B6F5-BD709861B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3.xml><?xml version="1.0" encoding="utf-8"?>
<ds:datastoreItem xmlns:ds="http://schemas.openxmlformats.org/officeDocument/2006/customXml" ds:itemID="{827ED1B6-3B7C-4783-8BD2-2D2D187C2E32}"/>
</file>

<file path=customXml/itemProps4.xml><?xml version="1.0" encoding="utf-8"?>
<ds:datastoreItem xmlns:ds="http://schemas.openxmlformats.org/officeDocument/2006/customXml" ds:itemID="{6F1A4FC4-884A-413B-B164-CD47CC1E03D9}">
  <ds:schemaRefs>
    <ds:schemaRef ds:uri="http://schemas.microsoft.com/sharepoint/events"/>
  </ds:schemaRefs>
</ds:datastoreItem>
</file>

<file path=customXml/itemProps5.xml><?xml version="1.0" encoding="utf-8"?>
<ds:datastoreItem xmlns:ds="http://schemas.openxmlformats.org/officeDocument/2006/customXml" ds:itemID="{1FA1D400-2C2F-43CE-9427-E3BA39C934FD}">
  <ds:schemaRefs>
    <ds:schemaRef ds:uri="http://schemas.microsoft.com/office/2006/documentManagement/types"/>
    <ds:schemaRef ds:uri="http://schemas.microsoft.com/sharepoint/v3"/>
    <ds:schemaRef ds:uri="http://purl.org/dc/elements/1.1/"/>
    <ds:schemaRef ds:uri="http://schemas.microsoft.com/office/2006/metadata/properties"/>
    <ds:schemaRef ds:uri="http://schemas.microsoft.com/sharepoint/v4"/>
    <ds:schemaRef ds:uri="http://schemas.openxmlformats.org/package/2006/metadata/core-properties"/>
    <ds:schemaRef ds:uri="http://www.w3.org/XML/1998/namespace"/>
    <ds:schemaRef ds:uri="http://schemas.microsoft.com/office/infopath/2007/PartnerControls"/>
    <ds:schemaRef ds:uri="http://purl.org/dc/terms/"/>
    <ds:schemaRef ds:uri="3e1050e7-7faf-40ec-88f1-5bdab33a6ff5"/>
    <ds:schemaRef ds:uri="be72bb46-7b96-43f6-b3d2-cb56bca42853"/>
    <ds:schemaRef ds:uri="http://purl.org/dc/dcmitype/"/>
  </ds:schemaRefs>
</ds:datastoreItem>
</file>

<file path=customXml/itemProps6.xml><?xml version="1.0" encoding="utf-8"?>
<ds:datastoreItem xmlns:ds="http://schemas.openxmlformats.org/officeDocument/2006/customXml" ds:itemID="{34F57D7D-AC72-4259-A868-403BC645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2020-11-12T15:47:00Z</dcterms:created>
  <dcterms:modified xsi:type="dcterms:W3CDTF">2020-11-12T15:47:00Z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0x010100F3544E23209C5A4E913FA5643570418A</vt:lpwstr>
  </property>
  <property fmtid="{D5CDD505-2E9C-101B-9397-08002B2CF9AE}" pid="3" name="_dlc_DocIdItemGuid">
    <vt:lpwstr>5c8c8f24-6c0e-46f6-a351-806c4da3d1b5</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ha854ffd4af946f1b23e64bfa0f7277a">
    <vt:lpwstr/>
  </property>
  <property fmtid="{D5CDD505-2E9C-101B-9397-08002B2CF9AE}" pid="13" name="Standards Project Number">
    <vt:lpwstr>11944;#2020-05|0203b548-7917-49f0-9903-6c2182a6b1bd</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
  </property>
  <property fmtid="{D5CDD505-2E9C-101B-9397-08002B2CF9AE}" pid="17" name="Standard Action">
    <vt:lpwstr>10176;#Nomination|87e67c26-2862-471f-aaf2-c620cc145ae1</vt:lpwstr>
  </property>
  <property fmtid="{D5CDD505-2E9C-101B-9397-08002B2CF9AE}" pid="18" name="Standard Number - New">
    <vt:lpwstr/>
  </property>
  <property fmtid="{D5CDD505-2E9C-101B-9397-08002B2CF9AE}" pid="19" name="SD Project Type">
    <vt:lpwstr/>
  </property>
</Properties>
</file>