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C367F6">
          <w:rPr>
            <w:rStyle w:val="Hyperlink"/>
          </w:rPr>
          <w:t>electronic form</w:t>
        </w:r>
      </w:hyperlink>
      <w:r w:rsidRPr="000B7836">
        <w:t xml:space="preserve"> to submit comments on the </w:t>
      </w:r>
      <w:r>
        <w:t>Standard</w:t>
      </w:r>
      <w:r w:rsidR="00452790">
        <w:t>s</w:t>
      </w:r>
      <w:r w:rsidRPr="000B7836">
        <w:t>.  The electronic comment form must be</w:t>
      </w:r>
      <w:r w:rsidRPr="00E83153">
        <w:t xml:space="preserve"> </w:t>
      </w:r>
      <w:r w:rsidRPr="00E83153">
        <w:rPr>
          <w:color w:val="000000" w:themeColor="accent6"/>
        </w:rPr>
        <w:t>completed</w:t>
      </w:r>
      <w:r w:rsidRPr="00097FA2">
        <w:rPr>
          <w:b/>
          <w:color w:val="000000" w:themeColor="accent6"/>
        </w:rPr>
        <w:t xml:space="preserve"> by</w:t>
      </w:r>
      <w:r w:rsidR="00D647FF" w:rsidRPr="00097FA2">
        <w:rPr>
          <w:b/>
          <w:color w:val="000000" w:themeColor="accent6"/>
        </w:rPr>
        <w:t xml:space="preserve"> </w:t>
      </w:r>
      <w:r w:rsidR="00097FA2" w:rsidRPr="00097FA2">
        <w:rPr>
          <w:b/>
          <w:color w:val="000000" w:themeColor="accent6"/>
        </w:rPr>
        <w:t xml:space="preserve">8 p.m. Eastern on Thursday, </w:t>
      </w:r>
      <w:r w:rsidR="00283880" w:rsidRPr="00097FA2">
        <w:rPr>
          <w:b/>
          <w:color w:val="000000" w:themeColor="accent6"/>
        </w:rPr>
        <w:t xml:space="preserve">October </w:t>
      </w:r>
      <w:r w:rsidR="00097FA2" w:rsidRPr="00097FA2">
        <w:rPr>
          <w:b/>
          <w:color w:val="000000" w:themeColor="accent6"/>
        </w:rPr>
        <w:t>16</w:t>
      </w:r>
      <w:r w:rsidR="00D647FF" w:rsidRPr="00097FA2">
        <w:rPr>
          <w:b/>
          <w:color w:val="000000" w:themeColor="accent6"/>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2"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0055EB">
        <w:t xml:space="preserve">VAR-002-4, </w:t>
      </w:r>
      <w:r w:rsidR="00FA4496">
        <w:t>one</w:t>
      </w:r>
      <w:r>
        <w:t xml:space="preserve">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r w:rsidR="000055EB">
        <w:t xml:space="preserve">Please note that </w:t>
      </w:r>
      <w:r w:rsidR="000055EB" w:rsidRPr="000055EB">
        <w:t>NERC posted recommended applicability changes to VAR-002-2b(X) on June 12, 2014.  However, FERC approved VAR-002-3 on August 2, 2014, which supersedes VAR-002-2b(X) effective on October 1, 2014.  Therefore, recommended applicability changes to VAR-002-2b(X) were not subsequently posted for ballot.</w:t>
      </w:r>
      <w:r w:rsidR="000055EB">
        <w:t xml:space="preserve">  VAR-002-4 would supersede the recently approved VAR-002-3 upon successful ballot and final regulatory approval of that version.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allowed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w:t>
      </w:r>
      <w:r>
        <w:rPr>
          <w:rStyle w:val="FootnoteReference"/>
        </w:rPr>
        <w:footnoteReference w:id="2"/>
      </w:r>
    </w:p>
    <w:p w:rsidR="00163E1F" w:rsidRDefault="00163E1F" w:rsidP="00163E1F">
      <w:pPr>
        <w:autoSpaceDE w:val="0"/>
        <w:autoSpaceDN w:val="0"/>
        <w:adjustRightInd w:val="0"/>
      </w:pPr>
      <w:r>
        <w:t>•</w:t>
      </w:r>
      <w:r>
        <w:tab/>
        <w:t>PRC-005;</w:t>
      </w:r>
      <w:r w:rsidR="00094E14">
        <w:rPr>
          <w:rStyle w:val="FootnoteReference"/>
        </w:rPr>
        <w:footnoteReference w:id="3"/>
      </w:r>
      <w:r>
        <w:t xml:space="preserve"> and</w:t>
      </w:r>
    </w:p>
    <w:p w:rsidR="00163E1F" w:rsidRDefault="00163E1F" w:rsidP="00163E1F">
      <w:pPr>
        <w:autoSpaceDE w:val="0"/>
        <w:autoSpaceDN w:val="0"/>
        <w:adjustRightInd w:val="0"/>
      </w:pPr>
      <w:r>
        <w:t>•</w:t>
      </w:r>
      <w:r>
        <w:tab/>
        <w:t>VAR-002.</w:t>
      </w:r>
    </w:p>
    <w:p w:rsidR="00163E1F" w:rsidRDefault="00163E1F" w:rsidP="00163E1F">
      <w:pPr>
        <w:autoSpaceDE w:val="0"/>
        <w:autoSpaceDN w:val="0"/>
        <w:adjustRightInd w:val="0"/>
      </w:pPr>
    </w:p>
    <w:p w:rsidR="00546C0C" w:rsidRDefault="000929F8" w:rsidP="00546C0C">
      <w:r w:rsidRPr="000929F8">
        <w:t>The DGR SDT responded to industry comments as contained in its Consideration of Comments, which is included with this posting</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 xml:space="preserve">impacting other projects.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 xml:space="preserve">The DGR’s </w:t>
      </w:r>
      <w:r w:rsidRPr="00132232">
        <w:t xml:space="preserve">recommended changes are limited to revising the applicability of </w:t>
      </w:r>
      <w:r w:rsidR="00082637">
        <w:t xml:space="preserve">VAR-002 </w:t>
      </w:r>
      <w:r w:rsidRPr="00132232">
        <w:t xml:space="preserve">to appropriately exclude certain </w:t>
      </w:r>
      <w:r w:rsidR="0092028A">
        <w:t>dispersed power producing resources</w:t>
      </w:r>
      <w:r w:rsidR="00777C17">
        <w:t xml:space="preserve"> from the standard</w:t>
      </w:r>
      <w:r w:rsidRPr="00132232">
        <w:t xml:space="preserve">.  Although the redlined version of </w:t>
      </w:r>
      <w:r w:rsidR="00094E14">
        <w:t>VAR-002</w:t>
      </w:r>
      <w:r w:rsidRPr="00132232">
        <w:t xml:space="preserve"> included with this posting contain</w:t>
      </w:r>
      <w:r w:rsidR="00094E14">
        <w:t>s</w:t>
      </w:r>
      <w:r w:rsidRPr="00132232">
        <w:t xml:space="preserve"> changes that </w:t>
      </w:r>
      <w:r w:rsidR="008F2FEC">
        <w:t>appear</w:t>
      </w:r>
      <w:r w:rsidRPr="00132232">
        <w:t xml:space="preserve"> structurally different, the substance </w:t>
      </w:r>
      <w:r w:rsidR="00094E14">
        <w:t>of VAR-002 remains</w:t>
      </w:r>
      <w:r w:rsidRPr="00132232">
        <w:t xml:space="preserve"> the same.  </w:t>
      </w:r>
    </w:p>
    <w:p w:rsidR="00B67D65" w:rsidRPr="00132232" w:rsidRDefault="00B67D65" w:rsidP="00546C0C"/>
    <w:p w:rsidR="00546C0C" w:rsidRPr="00132232" w:rsidRDefault="00733E8C" w:rsidP="00546C0C">
      <w:r>
        <w:t xml:space="preserve">The drafting team has posted the following standard, along with </w:t>
      </w:r>
      <w:r w:rsidR="00094E14">
        <w:t xml:space="preserve">its </w:t>
      </w:r>
      <w:r w:rsidR="0092028A">
        <w:t xml:space="preserve">corresponding </w:t>
      </w:r>
      <w:r>
        <w:t>implementation plan</w:t>
      </w:r>
      <w:r w:rsidR="00546C0C" w:rsidRPr="00132232">
        <w:t>:</w:t>
      </w:r>
    </w:p>
    <w:p w:rsidR="005A1560" w:rsidRPr="00132232" w:rsidRDefault="005A1560" w:rsidP="00546C0C"/>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VAR-002-4</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w:t>
      </w:r>
      <w:r w:rsidR="008934EA">
        <w:rPr>
          <w:rFonts w:asciiTheme="minorHAnsi" w:hAnsiTheme="minorHAnsi"/>
          <w:sz w:val="24"/>
          <w:szCs w:val="24"/>
        </w:rPr>
        <w:t>the previously posted VAR-002-4</w:t>
      </w:r>
      <w:r w:rsidR="000929F8">
        <w:rPr>
          <w:rFonts w:asciiTheme="minorHAnsi" w:hAnsiTheme="minorHAnsi"/>
          <w:sz w:val="24"/>
          <w:szCs w:val="24"/>
        </w:rPr>
        <w:t>)</w:t>
      </w:r>
    </w:p>
    <w:p w:rsidR="000F6396" w:rsidRPr="000F6396" w:rsidRDefault="000F6396" w:rsidP="007D2F1E">
      <w:pPr>
        <w:ind w:left="720"/>
      </w:pPr>
      <w:r>
        <w:t>In addition, the drafting team has posted the following supporting document</w:t>
      </w:r>
      <w:r w:rsidR="008934EA">
        <w:t>:</w:t>
      </w:r>
    </w:p>
    <w:p w:rsidR="000929F8" w:rsidRDefault="000929F8" w:rsidP="000929F8">
      <w:pPr>
        <w:pStyle w:val="ListParagraph"/>
        <w:numPr>
          <w:ilvl w:val="0"/>
          <w:numId w:val="30"/>
        </w:numPr>
        <w:rPr>
          <w:rFonts w:asciiTheme="minorHAnsi" w:hAnsiTheme="minorHAnsi"/>
          <w:sz w:val="24"/>
          <w:szCs w:val="24"/>
        </w:rPr>
      </w:pPr>
      <w:r w:rsidRPr="000929F8">
        <w:rPr>
          <w:rFonts w:asciiTheme="minorHAnsi" w:hAnsiTheme="minorHAnsi"/>
          <w:sz w:val="24"/>
          <w:szCs w:val="24"/>
        </w:rPr>
        <w:t>DGR SDT Response to Comments</w:t>
      </w:r>
      <w:r w:rsidR="008934EA">
        <w:rPr>
          <w:rFonts w:asciiTheme="minorHAnsi" w:hAnsiTheme="minorHAnsi"/>
          <w:sz w:val="24"/>
          <w:szCs w:val="24"/>
        </w:rPr>
        <w:t xml:space="preserve"> on PRC-005 and VAR-002</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 xml:space="preserve">associated with </w:t>
      </w:r>
      <w:r w:rsidR="00777C17">
        <w:t>VAR-002</w:t>
      </w:r>
      <w:r w:rsidR="000F6396">
        <w:t xml:space="preserve"> because the proposed revisions do not change the reliability intent or impact of any of the requirements</w:t>
      </w:r>
      <w:r>
        <w:t xml:space="preserve">.  If the applicability recommendations are approved by industry, the </w:t>
      </w:r>
      <w:r w:rsidR="000F6396">
        <w:t xml:space="preserve">DGR SDT’s intent is that the VRFs and VSLs for each requirement would be unchanged from </w:t>
      </w:r>
      <w:r w:rsidR="00C00BEC">
        <w:t>VAR-002-3</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2"/>
    <w:p w:rsidR="00E83153" w:rsidRDefault="00E83153">
      <w:pPr>
        <w:rPr>
          <w:rFonts w:ascii="Tahoma" w:hAnsi="Tahoma" w:cs="Tahoma"/>
          <w:b/>
          <w:bCs/>
        </w:rPr>
      </w:pPr>
      <w:r>
        <w:rPr>
          <w:rFonts w:cs="Tahoma"/>
        </w:rPr>
        <w:br w:type="page"/>
      </w:r>
    </w:p>
    <w:p w:rsidR="0039275D" w:rsidRPr="00B67D65" w:rsidRDefault="007C3AC2" w:rsidP="00102A01">
      <w:pPr>
        <w:pStyle w:val="Heading2"/>
        <w:rPr>
          <w:rFonts w:cs="Tahoma"/>
          <w:sz w:val="24"/>
          <w:szCs w:val="24"/>
        </w:rPr>
      </w:pPr>
      <w:r w:rsidRPr="00B67D65">
        <w:rPr>
          <w:rFonts w:cs="Tahoma"/>
          <w:sz w:val="24"/>
          <w:szCs w:val="24"/>
        </w:rPr>
        <w:lastRenderedPageBreak/>
        <w:t>Questions</w:t>
      </w:r>
    </w:p>
    <w:p w:rsidR="00575783" w:rsidRPr="00734E6D" w:rsidRDefault="00575783" w:rsidP="00575783">
      <w:pPr>
        <w:rPr>
          <w:sz w:val="22"/>
          <w:szCs w:val="22"/>
        </w:rPr>
      </w:pP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VAR-002-4</w:t>
      </w:r>
      <w:r w:rsid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VAR-002-3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6E3CFD">
      <w:pPr>
        <w:pStyle w:val="Bullet"/>
        <w:numPr>
          <w:ilvl w:val="0"/>
          <w:numId w:val="0"/>
        </w:numPr>
        <w:spacing w:before="0" w:after="120"/>
        <w:rPr>
          <w:rFonts w:asciiTheme="minorHAnsi" w:hAnsiTheme="minorHAnsi"/>
          <w:sz w:val="24"/>
          <w:szCs w:val="24"/>
        </w:rPr>
      </w:pP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3"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3"/>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bookmarkStart w:id="4" w:name="_GoBack"/>
      <w:bookmarkEnd w:id="4"/>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B0" w:rsidRDefault="002E2DB0">
      <w:r>
        <w:separator/>
      </w:r>
    </w:p>
  </w:endnote>
  <w:endnote w:type="continuationSeparator" w:id="0">
    <w:p w:rsidR="002E2DB0" w:rsidRDefault="002E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w:t>
    </w:r>
    <w:r w:rsidR="00283880">
      <w:t xml:space="preserve"> October </w:t>
    </w:r>
    <w:r w:rsidR="00E83153">
      <w:t>16</w:t>
    </w:r>
    <w:r w:rsidR="004D7943">
      <w:t>, 2014</w:t>
    </w:r>
    <w:r>
      <w:tab/>
    </w:r>
    <w:r w:rsidR="00344D64">
      <w:fldChar w:fldCharType="begin"/>
    </w:r>
    <w:r w:rsidR="007924E4">
      <w:instrText xml:space="preserve"> PAGE </w:instrText>
    </w:r>
    <w:r w:rsidR="00344D64">
      <w:fldChar w:fldCharType="separate"/>
    </w:r>
    <w:r w:rsidR="008F7E94">
      <w:rPr>
        <w:noProof/>
      </w:rPr>
      <w:t>2</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B0" w:rsidRDefault="002E2DB0">
      <w:r>
        <w:separator/>
      </w:r>
    </w:p>
  </w:footnote>
  <w:footnote w:type="continuationSeparator" w:id="0">
    <w:p w:rsidR="002E2DB0" w:rsidRDefault="002E2DB0">
      <w:r>
        <w:continuationSeparator/>
      </w:r>
    </w:p>
  </w:footnote>
  <w:footnote w:id="1">
    <w:p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163E1F" w:rsidRDefault="00163E1F" w:rsidP="00163E1F">
      <w:pPr>
        <w:pStyle w:val="FootnoteText"/>
      </w:pPr>
      <w:r>
        <w:rPr>
          <w:rStyle w:val="FootnoteReference"/>
        </w:rPr>
        <w:footnoteRef/>
      </w:r>
      <w:r>
        <w:t xml:space="preserve"> </w:t>
      </w:r>
      <w:r w:rsidRPr="001B790A">
        <w:t xml:space="preserve">The </w:t>
      </w:r>
      <w:r>
        <w:t xml:space="preserve">DGR </w:t>
      </w:r>
      <w:r w:rsidR="0092028A">
        <w:t>SDT</w:t>
      </w:r>
      <w:r w:rsidR="00094E14">
        <w:t xml:space="preserve"> posted</w:t>
      </w:r>
      <w:r w:rsidRPr="001B790A">
        <w:t xml:space="preserve"> applicability revisions </w:t>
      </w:r>
      <w:r w:rsidR="00094E14">
        <w:t>to</w:t>
      </w:r>
      <w:r w:rsidRPr="001B790A">
        <w:t xml:space="preserve"> relevant versions of PRC-004</w:t>
      </w:r>
      <w:r w:rsidR="00094E14">
        <w:t xml:space="preserve"> for comment and ballot from July 10, 2014 to August 25, 2014, </w:t>
      </w:r>
      <w:r w:rsidRPr="001B790A">
        <w:t xml:space="preserve">after the comment period and ballot of that standard in Project 2010-05.1 </w:t>
      </w:r>
      <w:r w:rsidR="00094E14">
        <w:t>concluded</w:t>
      </w:r>
      <w:r w:rsidRPr="001B790A">
        <w:t>.</w:t>
      </w:r>
    </w:p>
  </w:footnote>
  <w:footnote w:id="3">
    <w:p w:rsidR="00094E14" w:rsidRDefault="00094E14">
      <w:pPr>
        <w:pStyle w:val="FootnoteText"/>
      </w:pPr>
      <w:r>
        <w:rPr>
          <w:rStyle w:val="FootnoteReference"/>
        </w:rPr>
        <w:footnoteRef/>
      </w:r>
      <w:r>
        <w:t xml:space="preserve"> </w:t>
      </w:r>
      <w:r w:rsidRPr="00094E14">
        <w:t>The DGR SDT posted applicability revisions to relevant versions of</w:t>
      </w:r>
      <w:r>
        <w:t xml:space="preserve"> PRC-005 for comment and ballot from June 12, 2014 to July 29, 2014.  Relevant versions of that standard are now posted for final ballot.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5EB"/>
    <w:rsid w:val="000067C8"/>
    <w:rsid w:val="00011D42"/>
    <w:rsid w:val="000334DF"/>
    <w:rsid w:val="00054742"/>
    <w:rsid w:val="000646BE"/>
    <w:rsid w:val="00082637"/>
    <w:rsid w:val="000929F8"/>
    <w:rsid w:val="00094E14"/>
    <w:rsid w:val="00097FA2"/>
    <w:rsid w:val="000A70BC"/>
    <w:rsid w:val="000B36CB"/>
    <w:rsid w:val="000B7A04"/>
    <w:rsid w:val="000D7162"/>
    <w:rsid w:val="000E3AB0"/>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6D9E"/>
    <w:rsid w:val="0022356F"/>
    <w:rsid w:val="002453EE"/>
    <w:rsid w:val="00254228"/>
    <w:rsid w:val="00255C9F"/>
    <w:rsid w:val="00263BE2"/>
    <w:rsid w:val="00264481"/>
    <w:rsid w:val="002677C1"/>
    <w:rsid w:val="00283880"/>
    <w:rsid w:val="00283FB4"/>
    <w:rsid w:val="002A6BAD"/>
    <w:rsid w:val="002B7E13"/>
    <w:rsid w:val="002C5731"/>
    <w:rsid w:val="002E2DB0"/>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800C7"/>
    <w:rsid w:val="004859C6"/>
    <w:rsid w:val="004B7DE3"/>
    <w:rsid w:val="004D7943"/>
    <w:rsid w:val="004E7B5C"/>
    <w:rsid w:val="004F3349"/>
    <w:rsid w:val="005039D5"/>
    <w:rsid w:val="00510652"/>
    <w:rsid w:val="00515B3A"/>
    <w:rsid w:val="005316C6"/>
    <w:rsid w:val="005316F3"/>
    <w:rsid w:val="00546C0C"/>
    <w:rsid w:val="0055051B"/>
    <w:rsid w:val="00555F79"/>
    <w:rsid w:val="00573832"/>
    <w:rsid w:val="00575783"/>
    <w:rsid w:val="005A1560"/>
    <w:rsid w:val="005A721A"/>
    <w:rsid w:val="005B7382"/>
    <w:rsid w:val="005D3F72"/>
    <w:rsid w:val="005E20EF"/>
    <w:rsid w:val="00613DC8"/>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77C17"/>
    <w:rsid w:val="00791651"/>
    <w:rsid w:val="007924E4"/>
    <w:rsid w:val="007C3AC2"/>
    <w:rsid w:val="007D1C1C"/>
    <w:rsid w:val="007D2F1E"/>
    <w:rsid w:val="007F377B"/>
    <w:rsid w:val="0083365D"/>
    <w:rsid w:val="00855BA8"/>
    <w:rsid w:val="00856441"/>
    <w:rsid w:val="008866E7"/>
    <w:rsid w:val="008934EA"/>
    <w:rsid w:val="008F2FEC"/>
    <w:rsid w:val="008F7E94"/>
    <w:rsid w:val="00905DC1"/>
    <w:rsid w:val="00910967"/>
    <w:rsid w:val="0092028A"/>
    <w:rsid w:val="00921561"/>
    <w:rsid w:val="00976468"/>
    <w:rsid w:val="009B1A70"/>
    <w:rsid w:val="009D7638"/>
    <w:rsid w:val="00A35DA7"/>
    <w:rsid w:val="00A40534"/>
    <w:rsid w:val="00A6738A"/>
    <w:rsid w:val="00A75EA2"/>
    <w:rsid w:val="00A92B1C"/>
    <w:rsid w:val="00AA36B7"/>
    <w:rsid w:val="00AA706E"/>
    <w:rsid w:val="00AA7D5F"/>
    <w:rsid w:val="00AC0C35"/>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00BEC"/>
    <w:rsid w:val="00C148E4"/>
    <w:rsid w:val="00C24464"/>
    <w:rsid w:val="00C31EA1"/>
    <w:rsid w:val="00C367F6"/>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64CB9"/>
    <w:rsid w:val="00E83153"/>
    <w:rsid w:val="00E96B90"/>
    <w:rsid w:val="00EC25A2"/>
    <w:rsid w:val="00EE13B4"/>
    <w:rsid w:val="00F31926"/>
    <w:rsid w:val="00F3449F"/>
    <w:rsid w:val="00F42ABD"/>
    <w:rsid w:val="00FA4496"/>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fd4a8499a1864562a5f4e8e7c7f1639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963EB-FA40-43E5-8B5F-45744721EDB7}"/>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D5D2821-B3A9-4C6B-8C0E-CBF50DC094C4}"/>
</file>

<file path=customXml/itemProps5.xml><?xml version="1.0" encoding="utf-8"?>
<ds:datastoreItem xmlns:ds="http://schemas.openxmlformats.org/officeDocument/2006/customXml" ds:itemID="{161A76AB-9C67-48A1-BE77-D1751C5B8724}"/>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4559</Characters>
  <Application>Microsoft Office Word</Application>
  <DocSecurity>0</DocSecurity>
  <Lines>162</Lines>
  <Paragraphs>101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2014-08-22T19:52:00Z</dcterms:created>
  <dcterms:modified xsi:type="dcterms:W3CDTF">2014-09-02T14:38:00Z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f61f8246-c1a9-44f3-8885-71f95deee39f</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